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Inschrijfformulier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5792400</wp:posOffset>
            </wp:positionH>
            <wp:positionV relativeFrom="paragraph">
              <wp:posOffset>0</wp:posOffset>
            </wp:positionV>
            <wp:extent cx="900000" cy="900000"/>
            <wp:effectExtent b="0" l="0" r="0" t="0"/>
            <wp:wrapNone/>
            <wp:docPr descr="logo.jpg" id="38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00000" cy="900000"/>
            <wp:effectExtent b="0" l="0" r="0" t="0"/>
            <wp:wrapNone/>
            <wp:docPr descr="\\NAS\Shuttle Up\Logo\Logo Daan 2015\SU logo 2015 JPG - klein.jpg" id="37" name="image1.jpg"/>
            <a:graphic>
              <a:graphicData uri="http://schemas.openxmlformats.org/drawingml/2006/picture">
                <pic:pic>
                  <pic:nvPicPr>
                    <pic:cNvPr descr="\\NAS\Shuttle Up\Logo\Logo Daan 2015\SU logo 2015 JPG - klein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Sh</w:t>
      </w:r>
      <w:r w:rsidDel="00000000" w:rsidR="00000000" w:rsidRPr="00000000">
        <w:rPr>
          <w:b w:val="1"/>
          <w:sz w:val="52"/>
          <w:szCs w:val="52"/>
          <w:rtl w:val="0"/>
        </w:rPr>
        <w:t xml:space="preserve">uttle Up - PBC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Bedrijven Badmintontoernooi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Vrijdag 18 november 2022</w:t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Locatie: Sporthal De Stoep Sliedrecht</w:t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 kunt je alleen opgeven als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koppel</w:t>
      </w:r>
      <w:r w:rsidDel="00000000" w:rsidR="00000000" w:rsidRPr="00000000">
        <w:rPr>
          <w:sz w:val="22"/>
          <w:szCs w:val="22"/>
          <w:rtl w:val="0"/>
        </w:rPr>
        <w:t xml:space="preserve">, man/man, man/vrouw of vrouw/vrouw. Iedereen is welkom! Het inschrijfgeld bedraagt € 30,00 per koppel, te voldoen bij inschrijving. Er is geen limiet aan het aantal koppels per bedrijf. </w:t>
      </w:r>
    </w:p>
    <w:p w:rsidR="00000000" w:rsidDel="00000000" w:rsidP="00000000" w:rsidRDefault="00000000" w:rsidRPr="00000000" w14:paraId="0000000A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Graag het formulier zo volledig mogelijk invullen (gele vlakken).</w:t>
      </w:r>
    </w:p>
    <w:p w:rsidR="00000000" w:rsidDel="00000000" w:rsidP="00000000" w:rsidRDefault="00000000" w:rsidRPr="00000000" w14:paraId="0000000C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Het toernooi wordt vooraf ingedeeld, zodoende betekent een (late) afzegging een uitdaging voor de toernooileiding. Houdt u hier alstublieft rekening mee.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Afhankelijk van het aantal inschrijvingen zal de avond worden ingedeeld tussen ca. 19.30 en 23.00 uur. Iedereen speelt in poules (met onderscheid tussen beginners, recreanten en gevorderden), gevolgd door finalepartijen.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1095"/>
        <w:gridCol w:w="1120"/>
        <w:gridCol w:w="2533"/>
        <w:gridCol w:w="1072"/>
        <w:gridCol w:w="1073"/>
        <w:gridCol w:w="2580"/>
        <w:tblGridChange w:id="0">
          <w:tblGrid>
            <w:gridCol w:w="1020"/>
            <w:gridCol w:w="1095"/>
            <w:gridCol w:w="1120"/>
            <w:gridCol w:w="2533"/>
            <w:gridCol w:w="1072"/>
            <w:gridCol w:w="1073"/>
            <w:gridCol w:w="258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Bedrijf:</w:t>
            </w:r>
          </w:p>
        </w:tc>
        <w:tc>
          <w:tcPr>
            <w:gridSpan w:val="6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Omcirkel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 / 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 / V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 /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Speler 1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Speler 2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Naam:</w:t>
            </w:r>
          </w:p>
        </w:tc>
        <w:tc>
          <w:tcPr>
            <w:gridSpan w:val="2"/>
            <w:shd w:fill="ffff00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Naam:</w:t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Toestemming gebruik beeldmateriaal: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Toestemming gebruik beeldmateriaal: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Niveau speler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Niveau speler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Badminton ervaring: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Badminton ervaring: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Competitie gespeeld: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Competitie gespeeld: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nee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 ja, welk niveau: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 ja, welk niveau: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Eigen inschatting niveau: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75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beginner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Eigen inschatting niveau: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175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beginner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recreant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recreant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gevorderd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gevorderd</w:t>
            </w:r>
          </w:p>
        </w:tc>
      </w:tr>
    </w:tbl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Inleveren bij je contactpersoon of per e-mail naar </w:t>
      </w: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bt@shuttle-up.nl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lang w:eastAsia="en-US" w:val="en-US"/>
    </w:rPr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ocumentstructuur">
    <w:name w:val="Document Map"/>
    <w:basedOn w:val="Standaard"/>
    <w:semiHidden w:val="1"/>
    <w:pPr>
      <w:shd w:color="auto" w:fill="000080" w:val="clear"/>
    </w:pPr>
    <w:rPr>
      <w:rFonts w:ascii="Tahoma" w:cs="Tahoma" w:hAnsi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3463C4"/>
    <w:rPr>
      <w:rFonts w:ascii="Tahoma" w:hAnsi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 w:val="1"/>
    <w:rsid w:val="003463C4"/>
    <w:rPr>
      <w:rFonts w:ascii="Tahoma" w:cs="Tahoma" w:hAnsi="Tahoma"/>
      <w:sz w:val="16"/>
      <w:szCs w:val="16"/>
      <w:lang w:eastAsia="en-US" w:val="en-US"/>
    </w:rPr>
  </w:style>
  <w:style w:type="table" w:styleId="Tabelraster">
    <w:name w:val="Table Grid"/>
    <w:basedOn w:val="Standaardtabel"/>
    <w:uiPriority w:val="59"/>
    <w:rsid w:val="00EE2E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ardalinea-lettertype"/>
    <w:uiPriority w:val="99"/>
    <w:unhideWhenUsed w:val="1"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 w:val="1"/>
    <w:rsid w:val="001C4B3F"/>
    <w:pPr>
      <w:ind w:left="720"/>
      <w:contextualSpacing w:val="1"/>
    </w:pPr>
  </w:style>
  <w:style w:type="character" w:styleId="Onopgelostemelding1" w:customStyle="1">
    <w:name w:val="Onopgeloste melding1"/>
    <w:basedOn w:val="Standaardalinea-lettertype"/>
    <w:uiPriority w:val="99"/>
    <w:semiHidden w:val="1"/>
    <w:unhideWhenUsed w:val="1"/>
    <w:rsid w:val="005330BE"/>
    <w:rPr>
      <w:color w:val="808080"/>
      <w:shd w:color="auto" w:fill="e6e6e6" w:val="clear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t@shuttle-up.n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RChXg17QbF8U8PGonT3im6Icw==">AMUW2mUg0MH0NlXm17hNpKkhdmHC0hWMcoybhk2SkFUFhRX8YWcCq6k+3Vnq2hcEeYPBRQSY5GvDo4VCZqFlvHX80FuXoUwSvd5rHcadWmDj9gKenL8JpU1Db4/i+KNhQkSYy48ksQfn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2020-02-11T15:24:00Z</dcterms:created>
  <dc:creator>Michiel</dc:creator>
</cp:coreProperties>
</file>